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DC" w:rsidRDefault="000D3375">
      <w:pPr>
        <w:jc w:val="center"/>
        <w:rPr>
          <w:rFonts w:ascii="Arial" w:eastAsia="Arial" w:hAnsi="Arial" w:cs="Arial"/>
          <w:b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</w:rPr>
        <w:t>Conselho Estadual de Direitos Humanos</w:t>
      </w:r>
      <w:r w:rsidR="0097518E">
        <w:rPr>
          <w:rFonts w:ascii="Arial" w:eastAsia="Arial" w:hAnsi="Arial" w:cs="Arial"/>
          <w:b/>
          <w:sz w:val="24"/>
        </w:rPr>
        <w:t xml:space="preserve"> (CEDH-ES)</w:t>
      </w:r>
    </w:p>
    <w:p w:rsidR="00A4066A" w:rsidRPr="00A4066A" w:rsidRDefault="00A4066A" w:rsidP="00A4066A">
      <w:pPr>
        <w:jc w:val="center"/>
        <w:rPr>
          <w:rFonts w:ascii="Arial" w:eastAsia="Arial" w:hAnsi="Arial" w:cs="Arial"/>
          <w:b/>
          <w:sz w:val="24"/>
        </w:rPr>
      </w:pPr>
      <w:r w:rsidRPr="00A4066A">
        <w:rPr>
          <w:rFonts w:ascii="Arial" w:eastAsia="Arial" w:hAnsi="Arial" w:cs="Arial"/>
          <w:b/>
          <w:sz w:val="24"/>
        </w:rPr>
        <w:t>Resolução nº</w:t>
      </w:r>
      <w:r w:rsidR="00E81745">
        <w:rPr>
          <w:rFonts w:ascii="Arial" w:eastAsia="Arial" w:hAnsi="Arial" w:cs="Arial"/>
          <w:b/>
          <w:sz w:val="24"/>
        </w:rPr>
        <w:t xml:space="preserve"> </w:t>
      </w:r>
      <w:r w:rsidRPr="00A4066A">
        <w:rPr>
          <w:rFonts w:ascii="Arial" w:eastAsia="Arial" w:hAnsi="Arial" w:cs="Arial"/>
          <w:b/>
          <w:sz w:val="24"/>
        </w:rPr>
        <w:t>00</w:t>
      </w:r>
      <w:r>
        <w:rPr>
          <w:rFonts w:ascii="Arial" w:eastAsia="Arial" w:hAnsi="Arial" w:cs="Arial"/>
          <w:b/>
          <w:sz w:val="24"/>
        </w:rPr>
        <w:t>2</w:t>
      </w:r>
      <w:r w:rsidRPr="00A4066A">
        <w:rPr>
          <w:rFonts w:ascii="Arial" w:eastAsia="Arial" w:hAnsi="Arial" w:cs="Arial"/>
          <w:b/>
          <w:sz w:val="24"/>
        </w:rPr>
        <w:t>/2020</w:t>
      </w:r>
    </w:p>
    <w:p w:rsidR="00A549DC" w:rsidRDefault="00A549DC">
      <w:pPr>
        <w:jc w:val="center"/>
        <w:rPr>
          <w:rFonts w:ascii="Arial" w:eastAsia="Arial" w:hAnsi="Arial" w:cs="Arial"/>
          <w:b/>
          <w:sz w:val="24"/>
        </w:rPr>
      </w:pPr>
    </w:p>
    <w:p w:rsidR="00A549DC" w:rsidRDefault="000D3375">
      <w:pPr>
        <w:tabs>
          <w:tab w:val="left" w:pos="4820"/>
        </w:tabs>
        <w:ind w:left="496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Institui comissões especiais de caráter permanente no âmbito do Conselho Estadual de Direitos Humanos do Estado do Espírito Santo</w:t>
      </w:r>
    </w:p>
    <w:p w:rsidR="00A549DC" w:rsidRDefault="00A549DC">
      <w:pPr>
        <w:jc w:val="center"/>
        <w:rPr>
          <w:rFonts w:ascii="Arial" w:eastAsia="Arial" w:hAnsi="Arial" w:cs="Arial"/>
          <w:sz w:val="24"/>
        </w:rPr>
      </w:pPr>
    </w:p>
    <w:p w:rsidR="00A549DC" w:rsidRDefault="000D3375">
      <w:pPr>
        <w:spacing w:after="0"/>
        <w:ind w:left="42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 Conselho Estadual de Direitos Humanos do Espírito Santo (CEDH-ES), no uso das suas atribuições legais inscritas na Lei 5165/95 e em seu Regimento Interno, em especial no inciso XII, art. 5º e em cumprimento à deliberação da </w:t>
      </w:r>
      <w:r w:rsidR="00BF3104">
        <w:rPr>
          <w:rFonts w:ascii="Arial" w:eastAsia="Arial" w:hAnsi="Arial" w:cs="Arial"/>
          <w:sz w:val="24"/>
        </w:rPr>
        <w:t>5ª</w:t>
      </w:r>
      <w:r>
        <w:rPr>
          <w:rFonts w:ascii="Arial" w:eastAsia="Arial" w:hAnsi="Arial" w:cs="Arial"/>
          <w:sz w:val="24"/>
        </w:rPr>
        <w:t xml:space="preserve"> Sessão</w:t>
      </w:r>
      <w:r w:rsidR="00BF3104">
        <w:rPr>
          <w:rFonts w:ascii="Arial" w:eastAsia="Arial" w:hAnsi="Arial" w:cs="Arial"/>
          <w:sz w:val="24"/>
        </w:rPr>
        <w:t xml:space="preserve"> Plenária Extraordinária</w:t>
      </w:r>
      <w:r w:rsidR="00A757FF">
        <w:rPr>
          <w:rFonts w:ascii="Arial" w:eastAsia="Arial" w:hAnsi="Arial" w:cs="Arial"/>
          <w:sz w:val="24"/>
        </w:rPr>
        <w:t xml:space="preserve"> realizada em 15 de julho de 2020,</w:t>
      </w:r>
      <w:r>
        <w:rPr>
          <w:rFonts w:ascii="Arial" w:eastAsia="Arial" w:hAnsi="Arial" w:cs="Arial"/>
          <w:sz w:val="24"/>
        </w:rPr>
        <w:t xml:space="preserve"> resolve:</w:t>
      </w:r>
    </w:p>
    <w:p w:rsidR="00A549DC" w:rsidRDefault="00A549DC">
      <w:pPr>
        <w:spacing w:after="0"/>
        <w:ind w:left="426"/>
        <w:jc w:val="both"/>
        <w:rPr>
          <w:rFonts w:ascii="Arial" w:eastAsia="Arial" w:hAnsi="Arial" w:cs="Arial"/>
          <w:sz w:val="24"/>
        </w:rPr>
      </w:pPr>
    </w:p>
    <w:p w:rsidR="00A549DC" w:rsidRDefault="000D3375">
      <w:pPr>
        <w:spacing w:after="0"/>
        <w:ind w:left="42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Art. 1º</w:t>
      </w:r>
      <w:r>
        <w:rPr>
          <w:rFonts w:ascii="Arial" w:eastAsia="Arial" w:hAnsi="Arial" w:cs="Arial"/>
          <w:sz w:val="24"/>
        </w:rPr>
        <w:t xml:space="preserve"> Instituir comissões especiais de caráter permanente para subsidiar as ações e o trabalho do Conselho Estadual de Direitos Humanos.</w:t>
      </w:r>
    </w:p>
    <w:p w:rsidR="00A549DC" w:rsidRDefault="00A549DC">
      <w:pPr>
        <w:spacing w:after="0"/>
        <w:ind w:left="426"/>
        <w:jc w:val="both"/>
        <w:rPr>
          <w:rFonts w:ascii="Arial" w:eastAsia="Arial" w:hAnsi="Arial" w:cs="Arial"/>
          <w:sz w:val="24"/>
        </w:rPr>
      </w:pPr>
    </w:p>
    <w:p w:rsidR="00A549DC" w:rsidRDefault="000D3375">
      <w:pPr>
        <w:spacing w:after="0"/>
        <w:ind w:left="42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Art. 2º</w:t>
      </w:r>
      <w:r>
        <w:rPr>
          <w:rFonts w:ascii="Arial" w:eastAsia="Arial" w:hAnsi="Arial" w:cs="Arial"/>
          <w:sz w:val="24"/>
        </w:rPr>
        <w:t xml:space="preserve"> As comissões especiais de caráter permanente são:</w:t>
      </w:r>
    </w:p>
    <w:p w:rsidR="00A549DC" w:rsidRDefault="00A549DC">
      <w:pPr>
        <w:spacing w:after="0"/>
        <w:ind w:left="426"/>
        <w:jc w:val="both"/>
        <w:rPr>
          <w:rFonts w:ascii="Arial" w:eastAsia="Arial" w:hAnsi="Arial" w:cs="Arial"/>
          <w:sz w:val="24"/>
        </w:rPr>
      </w:pPr>
    </w:p>
    <w:p w:rsidR="00A549DC" w:rsidRDefault="000D3375">
      <w:pPr>
        <w:numPr>
          <w:ilvl w:val="0"/>
          <w:numId w:val="1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Comissão Permanente de Promoção de Direitos Humanos e de Eventos</w:t>
      </w:r>
      <w:r w:rsidR="00937D87">
        <w:rPr>
          <w:rFonts w:ascii="Arial" w:eastAsia="Arial" w:hAnsi="Arial" w:cs="Arial"/>
          <w:sz w:val="24"/>
        </w:rPr>
        <w:t>;</w:t>
      </w:r>
    </w:p>
    <w:p w:rsidR="00A549DC" w:rsidRDefault="000D3375">
      <w:pPr>
        <w:numPr>
          <w:ilvl w:val="0"/>
          <w:numId w:val="1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Comissão Permanente de Proteção de Direitos Humanos</w:t>
      </w:r>
      <w:r w:rsidR="00937D87">
        <w:rPr>
          <w:rFonts w:ascii="Arial" w:eastAsia="Arial" w:hAnsi="Arial" w:cs="Arial"/>
          <w:sz w:val="24"/>
        </w:rPr>
        <w:t>;</w:t>
      </w:r>
    </w:p>
    <w:p w:rsidR="00A549DC" w:rsidRDefault="000D3375">
      <w:pPr>
        <w:numPr>
          <w:ilvl w:val="0"/>
          <w:numId w:val="1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Comissão Permanente de Defesa de Direitos Humanos</w:t>
      </w:r>
      <w:r w:rsidR="00937D87">
        <w:rPr>
          <w:rFonts w:ascii="Arial" w:eastAsia="Arial" w:hAnsi="Arial" w:cs="Arial"/>
          <w:sz w:val="24"/>
        </w:rPr>
        <w:t>.</w:t>
      </w:r>
    </w:p>
    <w:p w:rsidR="00A549DC" w:rsidRDefault="00A549DC">
      <w:pPr>
        <w:spacing w:after="0"/>
        <w:jc w:val="both"/>
        <w:rPr>
          <w:rFonts w:ascii="Arial" w:eastAsia="Arial" w:hAnsi="Arial" w:cs="Arial"/>
          <w:sz w:val="24"/>
        </w:rPr>
      </w:pPr>
    </w:p>
    <w:p w:rsidR="00A549DC" w:rsidRDefault="000D3375">
      <w:pPr>
        <w:spacing w:after="0"/>
        <w:ind w:left="42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Art. 3º</w:t>
      </w:r>
      <w:r>
        <w:rPr>
          <w:rFonts w:ascii="Arial" w:eastAsia="Arial" w:hAnsi="Arial" w:cs="Arial"/>
          <w:sz w:val="24"/>
        </w:rPr>
        <w:t xml:space="preserve"> A Comissão Permanente de Promoção de Direitos Humanos e de Eventos será composta por </w:t>
      </w:r>
      <w:proofErr w:type="gramStart"/>
      <w:r>
        <w:rPr>
          <w:rFonts w:ascii="Arial" w:eastAsia="Arial" w:hAnsi="Arial" w:cs="Arial"/>
          <w:sz w:val="24"/>
        </w:rPr>
        <w:t>3</w:t>
      </w:r>
      <w:proofErr w:type="gramEnd"/>
      <w:r>
        <w:rPr>
          <w:rFonts w:ascii="Arial" w:eastAsia="Arial" w:hAnsi="Arial" w:cs="Arial"/>
          <w:sz w:val="24"/>
        </w:rPr>
        <w:t xml:space="preserve"> (três) conselheiros, titulares ou suplentes, e terão as seguintes atribuições:</w:t>
      </w:r>
    </w:p>
    <w:p w:rsidR="00A549DC" w:rsidRDefault="00A549DC">
      <w:pPr>
        <w:spacing w:after="0"/>
        <w:ind w:left="426"/>
        <w:jc w:val="both"/>
        <w:rPr>
          <w:rFonts w:ascii="Arial" w:eastAsia="Arial" w:hAnsi="Arial" w:cs="Arial"/>
          <w:sz w:val="24"/>
        </w:rPr>
      </w:pPr>
    </w:p>
    <w:p w:rsidR="00A549DC" w:rsidRDefault="000D3375" w:rsidP="00E81745">
      <w:pPr>
        <w:numPr>
          <w:ilvl w:val="0"/>
          <w:numId w:val="5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Propor e subsidiar o conselho na elaboração de capacitação e formação de servidores, população em geral e/ou movimentos sociais com atuação no Estado na temática Direitos Humanos;</w:t>
      </w:r>
    </w:p>
    <w:p w:rsidR="00A549DC" w:rsidRDefault="000D3375" w:rsidP="00E81745">
      <w:pPr>
        <w:numPr>
          <w:ilvl w:val="0"/>
          <w:numId w:val="5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Subsidiar e apoiar Conselhos Municipais de Direitos Humanos, ou órgãos correspondentes, promovendo suporte e a interlocução de conselheiros municipais e estaduais;</w:t>
      </w:r>
    </w:p>
    <w:p w:rsidR="00A549DC" w:rsidRDefault="000D3375" w:rsidP="00E81745">
      <w:pPr>
        <w:numPr>
          <w:ilvl w:val="0"/>
          <w:numId w:val="5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Subsidiar a criação de mecanismos de participação da sociedade nas instâncias de decisão sobre a Segurança Pública;</w:t>
      </w:r>
    </w:p>
    <w:p w:rsidR="007D500B" w:rsidRDefault="007D500B" w:rsidP="00E81745">
      <w:pPr>
        <w:numPr>
          <w:ilvl w:val="0"/>
          <w:numId w:val="5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</w:t>
      </w:r>
      <w:r w:rsidRPr="007D500B">
        <w:rPr>
          <w:rFonts w:ascii="Arial" w:eastAsia="Arial" w:hAnsi="Arial" w:cs="Arial"/>
          <w:sz w:val="24"/>
        </w:rPr>
        <w:t xml:space="preserve">ecomendar </w:t>
      </w:r>
      <w:r>
        <w:rPr>
          <w:rFonts w:ascii="Arial" w:eastAsia="Arial" w:hAnsi="Arial" w:cs="Arial"/>
          <w:sz w:val="24"/>
        </w:rPr>
        <w:t xml:space="preserve">e/ou realizar </w:t>
      </w:r>
      <w:r w:rsidRPr="007D500B">
        <w:rPr>
          <w:rFonts w:ascii="Arial" w:eastAsia="Arial" w:hAnsi="Arial" w:cs="Arial"/>
          <w:sz w:val="24"/>
        </w:rPr>
        <w:t xml:space="preserve">a elaboração de estudos e pesquisas </w:t>
      </w:r>
      <w:r>
        <w:rPr>
          <w:rFonts w:ascii="Arial" w:eastAsia="Arial" w:hAnsi="Arial" w:cs="Arial"/>
          <w:sz w:val="24"/>
        </w:rPr>
        <w:t>para análise da realidade dos direitos humanos no Estado do Espírito Santo;</w:t>
      </w:r>
    </w:p>
    <w:p w:rsidR="00A549DC" w:rsidRDefault="000D3375" w:rsidP="00E81745">
      <w:pPr>
        <w:numPr>
          <w:ilvl w:val="0"/>
          <w:numId w:val="5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Fomentar e auxiliar a realização de eventos de Direitos Humanos, tais como Prêmio Estadual de Direitos humanos, Conferência Estadual de Direitos Humanos, entre outros;</w:t>
      </w:r>
    </w:p>
    <w:p w:rsidR="00A549DC" w:rsidRDefault="000D3375" w:rsidP="00E81745">
      <w:pPr>
        <w:numPr>
          <w:ilvl w:val="0"/>
          <w:numId w:val="5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Auxiliar a diretoria e o pleno nas questões relativas às ações do planejamento que guardam pertinência com a Promoção de Direitos.</w:t>
      </w:r>
    </w:p>
    <w:p w:rsidR="00A549DC" w:rsidRDefault="00A549DC">
      <w:pPr>
        <w:spacing w:after="0"/>
        <w:jc w:val="both"/>
        <w:rPr>
          <w:rFonts w:ascii="Arial" w:eastAsia="Arial" w:hAnsi="Arial" w:cs="Arial"/>
          <w:sz w:val="24"/>
        </w:rPr>
      </w:pPr>
    </w:p>
    <w:p w:rsidR="00A549DC" w:rsidRDefault="000D3375">
      <w:pPr>
        <w:spacing w:after="0"/>
        <w:ind w:left="42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Art. 4º</w:t>
      </w:r>
      <w:r>
        <w:rPr>
          <w:rFonts w:ascii="Arial" w:eastAsia="Arial" w:hAnsi="Arial" w:cs="Arial"/>
          <w:sz w:val="24"/>
        </w:rPr>
        <w:t xml:space="preserve"> A Comissão Permanente de Proteção de Direitos Humanos será composta por 02 (dois) conselheiros, titulares ou suplentes, e terão as seguintes atribuições:</w:t>
      </w:r>
    </w:p>
    <w:p w:rsidR="00A549DC" w:rsidRDefault="00A549DC">
      <w:pPr>
        <w:spacing w:after="0"/>
        <w:ind w:left="426"/>
        <w:jc w:val="both"/>
        <w:rPr>
          <w:rFonts w:ascii="Arial" w:eastAsia="Arial" w:hAnsi="Arial" w:cs="Arial"/>
          <w:sz w:val="24"/>
        </w:rPr>
      </w:pPr>
    </w:p>
    <w:p w:rsidR="00A549DC" w:rsidRDefault="000D3375" w:rsidP="00E81745">
      <w:pPr>
        <w:numPr>
          <w:ilvl w:val="0"/>
          <w:numId w:val="6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Acompanhar e reportar ao pleno quanto ao Programa de Proteção a Vítimas e Testemunhas Ameaçadas de Morte (PROVITA);</w:t>
      </w:r>
    </w:p>
    <w:p w:rsidR="00A549DC" w:rsidRDefault="000D3375" w:rsidP="00E81745">
      <w:pPr>
        <w:numPr>
          <w:ilvl w:val="0"/>
          <w:numId w:val="6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Acompanhar e reportar ao pleno quanto ao Programa de Proteção a Crianças e Adolescentes Ameaçados de Morte (PPCA</w:t>
      </w:r>
      <w:r w:rsidR="00B1412B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>M);</w:t>
      </w:r>
    </w:p>
    <w:p w:rsidR="00A549DC" w:rsidRDefault="000D3375" w:rsidP="00E81745">
      <w:pPr>
        <w:numPr>
          <w:ilvl w:val="0"/>
          <w:numId w:val="6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Acompanhar e reportar ao pleno quanto ao Programa Proteção </w:t>
      </w:r>
      <w:r w:rsidR="00B1412B">
        <w:rPr>
          <w:rFonts w:ascii="Arial" w:eastAsia="Arial" w:hAnsi="Arial" w:cs="Arial"/>
          <w:sz w:val="24"/>
        </w:rPr>
        <w:t xml:space="preserve">a </w:t>
      </w:r>
      <w:r>
        <w:rPr>
          <w:rFonts w:ascii="Arial" w:eastAsia="Arial" w:hAnsi="Arial" w:cs="Arial"/>
          <w:sz w:val="24"/>
        </w:rPr>
        <w:t>Defensores</w:t>
      </w:r>
      <w:r w:rsidR="00F710D2">
        <w:rPr>
          <w:rFonts w:ascii="Arial" w:eastAsia="Arial" w:hAnsi="Arial" w:cs="Arial"/>
          <w:sz w:val="24"/>
        </w:rPr>
        <w:t xml:space="preserve"> (as)</w:t>
      </w:r>
      <w:r>
        <w:rPr>
          <w:rFonts w:ascii="Arial" w:eastAsia="Arial" w:hAnsi="Arial" w:cs="Arial"/>
          <w:sz w:val="24"/>
        </w:rPr>
        <w:t xml:space="preserve"> de Direitos Humanos (PPDDH);</w:t>
      </w:r>
    </w:p>
    <w:p w:rsidR="00A549DC" w:rsidRDefault="000D3375" w:rsidP="00E81745">
      <w:pPr>
        <w:numPr>
          <w:ilvl w:val="0"/>
          <w:numId w:val="6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Auxiliar a diretoria e o pleno nas questões relativas às ações do planejamento que guardam pertinência com os Programas de Proteção.</w:t>
      </w:r>
    </w:p>
    <w:p w:rsidR="00A549DC" w:rsidRDefault="00A549DC">
      <w:pPr>
        <w:spacing w:after="0"/>
        <w:ind w:left="426"/>
        <w:jc w:val="both"/>
        <w:rPr>
          <w:rFonts w:ascii="Arial" w:eastAsia="Arial" w:hAnsi="Arial" w:cs="Arial"/>
          <w:sz w:val="24"/>
        </w:rPr>
      </w:pPr>
    </w:p>
    <w:p w:rsidR="00A549DC" w:rsidRDefault="000D3375">
      <w:pPr>
        <w:spacing w:after="0"/>
        <w:ind w:left="42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Art. 5º</w:t>
      </w:r>
      <w:r>
        <w:rPr>
          <w:rFonts w:ascii="Arial" w:eastAsia="Arial" w:hAnsi="Arial" w:cs="Arial"/>
          <w:sz w:val="24"/>
        </w:rPr>
        <w:t xml:space="preserve"> A Comissão Permanente de Defesa de Direitos Humanos será composta por 09 (nove) conselheiros, titulares ou suplentes, e terão as seguintes atribuições:</w:t>
      </w:r>
    </w:p>
    <w:p w:rsidR="00A549DC" w:rsidRDefault="00A549DC">
      <w:pPr>
        <w:spacing w:after="0"/>
        <w:ind w:left="426"/>
        <w:jc w:val="both"/>
        <w:rPr>
          <w:rFonts w:ascii="Arial" w:eastAsia="Arial" w:hAnsi="Arial" w:cs="Arial"/>
          <w:sz w:val="24"/>
        </w:rPr>
      </w:pPr>
    </w:p>
    <w:p w:rsidR="00A549DC" w:rsidRDefault="000D3375" w:rsidP="00E81745">
      <w:pPr>
        <w:numPr>
          <w:ilvl w:val="0"/>
          <w:numId w:val="7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Acompanhar e auxiliar o pleno em questões relativas ao Sistema Prisional;</w:t>
      </w:r>
    </w:p>
    <w:p w:rsidR="00A549DC" w:rsidRDefault="000D3375" w:rsidP="00E81745">
      <w:pPr>
        <w:numPr>
          <w:ilvl w:val="0"/>
          <w:numId w:val="7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Acompanhar e auxiliar o pleno em questões relativas ao Sistema Socioeducativo;</w:t>
      </w:r>
    </w:p>
    <w:p w:rsidR="00A549DC" w:rsidRDefault="000D3375" w:rsidP="00E81745">
      <w:pPr>
        <w:numPr>
          <w:ilvl w:val="0"/>
          <w:numId w:val="7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Acompanhar e auxiliar o pleno em questões relativas </w:t>
      </w:r>
      <w:proofErr w:type="gramStart"/>
      <w:r>
        <w:rPr>
          <w:rFonts w:ascii="Arial" w:eastAsia="Arial" w:hAnsi="Arial" w:cs="Arial"/>
          <w:sz w:val="24"/>
        </w:rPr>
        <w:t>ao situação</w:t>
      </w:r>
      <w:proofErr w:type="gramEnd"/>
      <w:r>
        <w:rPr>
          <w:rFonts w:ascii="Arial" w:eastAsia="Arial" w:hAnsi="Arial" w:cs="Arial"/>
          <w:sz w:val="24"/>
        </w:rPr>
        <w:t xml:space="preserve"> das pessoas que estão nas Instituições de Longa Permanência;</w:t>
      </w:r>
    </w:p>
    <w:p w:rsidR="00A549DC" w:rsidRDefault="000D3375" w:rsidP="00E81745">
      <w:pPr>
        <w:numPr>
          <w:ilvl w:val="0"/>
          <w:numId w:val="7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Acompanhar e auxiliar o pleno em questões relativas à Segurança Pública;</w:t>
      </w:r>
    </w:p>
    <w:p w:rsidR="00A549DC" w:rsidRDefault="000D3375" w:rsidP="00E81745">
      <w:pPr>
        <w:numPr>
          <w:ilvl w:val="0"/>
          <w:numId w:val="7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Acompanhar e auxiliar o pleno em questões relativas a violações nas políticas sociais;</w:t>
      </w:r>
    </w:p>
    <w:p w:rsidR="00A549DC" w:rsidRDefault="000D3375" w:rsidP="00E81745">
      <w:pPr>
        <w:numPr>
          <w:ilvl w:val="0"/>
          <w:numId w:val="7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Acompanhar e auxiliar o plen</w:t>
      </w:r>
      <w:r w:rsidR="003F258A">
        <w:rPr>
          <w:rFonts w:ascii="Arial" w:eastAsia="Arial" w:hAnsi="Arial" w:cs="Arial"/>
          <w:sz w:val="24"/>
        </w:rPr>
        <w:t>o em questões discriminatórias</w:t>
      </w:r>
      <w:proofErr w:type="gramStart"/>
      <w:r w:rsidR="003F258A"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>seja</w:t>
      </w:r>
      <w:proofErr w:type="gramEnd"/>
      <w:r>
        <w:rPr>
          <w:rFonts w:ascii="Arial" w:eastAsia="Arial" w:hAnsi="Arial" w:cs="Arial"/>
          <w:sz w:val="24"/>
        </w:rPr>
        <w:t xml:space="preserve"> racial, violência contra mulher, orientação sexual/afetiva, identidade </w:t>
      </w:r>
      <w:proofErr w:type="gramStart"/>
      <w:r>
        <w:rPr>
          <w:rFonts w:ascii="Arial" w:eastAsia="Arial" w:hAnsi="Arial" w:cs="Arial"/>
          <w:sz w:val="24"/>
        </w:rPr>
        <w:t>de</w:t>
      </w:r>
      <w:proofErr w:type="gramEnd"/>
      <w:r>
        <w:rPr>
          <w:rFonts w:ascii="Arial" w:eastAsia="Arial" w:hAnsi="Arial" w:cs="Arial"/>
          <w:sz w:val="24"/>
        </w:rPr>
        <w:t xml:space="preserve"> gênero, comunidades ou povos tradicionais, população em situação de rua, ocupações sociais ou outras semelhantes não descritas neste inciso;</w:t>
      </w:r>
    </w:p>
    <w:p w:rsidR="00A549DC" w:rsidRDefault="000D3375" w:rsidP="00E81745">
      <w:pPr>
        <w:numPr>
          <w:ilvl w:val="0"/>
          <w:numId w:val="7"/>
        </w:numPr>
        <w:spacing w:after="0"/>
        <w:ind w:left="114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Auxiliar a diretoria e o pleno nas questões relativas às ações do planejamento que guardam pertinência com as denúncias de violações de direitos recebidas pelo CEDH-ES.</w:t>
      </w:r>
    </w:p>
    <w:p w:rsidR="00A549DC" w:rsidRDefault="00A549DC">
      <w:pPr>
        <w:spacing w:after="0"/>
        <w:ind w:left="786"/>
        <w:jc w:val="both"/>
        <w:rPr>
          <w:rFonts w:ascii="Arial" w:eastAsia="Arial" w:hAnsi="Arial" w:cs="Arial"/>
          <w:sz w:val="24"/>
        </w:rPr>
      </w:pPr>
    </w:p>
    <w:p w:rsidR="00A549DC" w:rsidRDefault="000D3375">
      <w:pPr>
        <w:spacing w:after="0"/>
        <w:ind w:left="42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Art. 6º</w:t>
      </w:r>
      <w:r>
        <w:rPr>
          <w:rFonts w:ascii="Arial" w:eastAsia="Arial" w:hAnsi="Arial" w:cs="Arial"/>
          <w:sz w:val="24"/>
        </w:rPr>
        <w:t xml:space="preserve"> As comissões poderão criar subcomissões para tratar temas específicos desde que respeitadas suas atribuições dispostas nesta resolução.</w:t>
      </w:r>
    </w:p>
    <w:p w:rsidR="00E844F7" w:rsidRDefault="00E844F7">
      <w:pPr>
        <w:spacing w:after="0"/>
        <w:ind w:left="426"/>
        <w:jc w:val="both"/>
        <w:rPr>
          <w:rFonts w:ascii="Arial" w:eastAsia="Arial" w:hAnsi="Arial" w:cs="Arial"/>
          <w:b/>
          <w:sz w:val="24"/>
        </w:rPr>
      </w:pPr>
    </w:p>
    <w:p w:rsidR="00A549DC" w:rsidRDefault="000D3375">
      <w:pPr>
        <w:spacing w:after="0"/>
        <w:ind w:left="42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Art. 7º</w:t>
      </w:r>
      <w:r>
        <w:rPr>
          <w:rFonts w:ascii="Arial" w:eastAsia="Arial" w:hAnsi="Arial" w:cs="Arial"/>
          <w:sz w:val="24"/>
        </w:rPr>
        <w:t xml:space="preserve"> O Conselho Estadual de Direitos Humanos buscará garantir a paridade e a diversidade na organização das comissões.</w:t>
      </w:r>
    </w:p>
    <w:p w:rsidR="00A549DC" w:rsidRDefault="00A549DC">
      <w:pPr>
        <w:spacing w:after="0"/>
        <w:ind w:left="426"/>
        <w:jc w:val="both"/>
        <w:rPr>
          <w:rFonts w:ascii="Arial" w:eastAsia="Arial" w:hAnsi="Arial" w:cs="Arial"/>
          <w:sz w:val="24"/>
        </w:rPr>
      </w:pPr>
    </w:p>
    <w:p w:rsidR="00A549DC" w:rsidRDefault="000D3375">
      <w:pPr>
        <w:spacing w:after="0"/>
        <w:ind w:left="42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Art. 8º</w:t>
      </w:r>
      <w:r>
        <w:rPr>
          <w:rFonts w:ascii="Arial" w:eastAsia="Arial" w:hAnsi="Arial" w:cs="Arial"/>
          <w:sz w:val="24"/>
        </w:rPr>
        <w:t xml:space="preserve"> As Comissões responsabilizar-se-ão por sugerir encaminhamentos, fazer acompanhamento dos retornos e providências adotadas, formular propostas de </w:t>
      </w:r>
      <w:proofErr w:type="gramStart"/>
      <w:r>
        <w:rPr>
          <w:rFonts w:ascii="Arial" w:eastAsia="Arial" w:hAnsi="Arial" w:cs="Arial"/>
          <w:sz w:val="24"/>
        </w:rPr>
        <w:t>implementação</w:t>
      </w:r>
      <w:proofErr w:type="gramEnd"/>
      <w:r>
        <w:rPr>
          <w:rFonts w:ascii="Arial" w:eastAsia="Arial" w:hAnsi="Arial" w:cs="Arial"/>
          <w:sz w:val="24"/>
        </w:rPr>
        <w:t xml:space="preserve"> de ações e de estratégias de atuação do CEDH-ES, devendo sempre submetê-las à diretoria e à Plenária quando este assim entender necessário. </w:t>
      </w:r>
    </w:p>
    <w:p w:rsidR="00A549DC" w:rsidRDefault="00A549DC">
      <w:pPr>
        <w:spacing w:after="0"/>
        <w:ind w:left="426"/>
        <w:jc w:val="both"/>
        <w:rPr>
          <w:rFonts w:ascii="Arial" w:eastAsia="Arial" w:hAnsi="Arial" w:cs="Arial"/>
          <w:sz w:val="24"/>
        </w:rPr>
      </w:pPr>
    </w:p>
    <w:p w:rsidR="00A549DC" w:rsidRDefault="000D3375">
      <w:pPr>
        <w:spacing w:after="0"/>
        <w:ind w:left="42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Art. 9º</w:t>
      </w:r>
      <w:r>
        <w:rPr>
          <w:rFonts w:ascii="Arial" w:eastAsia="Arial" w:hAnsi="Arial" w:cs="Arial"/>
          <w:sz w:val="24"/>
        </w:rPr>
        <w:t xml:space="preserve"> Esta resolução entrará em vigor na data de sua publicação.</w:t>
      </w:r>
    </w:p>
    <w:p w:rsidR="00A549DC" w:rsidRDefault="00A549DC">
      <w:pPr>
        <w:spacing w:after="0"/>
        <w:ind w:left="426"/>
        <w:jc w:val="both"/>
        <w:rPr>
          <w:rFonts w:ascii="Arial" w:eastAsia="Arial" w:hAnsi="Arial" w:cs="Arial"/>
          <w:sz w:val="24"/>
        </w:rPr>
      </w:pPr>
    </w:p>
    <w:p w:rsidR="00A549DC" w:rsidRDefault="00A549DC">
      <w:pPr>
        <w:spacing w:after="0"/>
        <w:ind w:left="426"/>
        <w:jc w:val="right"/>
        <w:rPr>
          <w:rFonts w:ascii="Arial" w:eastAsia="Arial" w:hAnsi="Arial" w:cs="Arial"/>
          <w:sz w:val="24"/>
        </w:rPr>
      </w:pPr>
    </w:p>
    <w:p w:rsidR="00A549DC" w:rsidRDefault="000D3375">
      <w:pPr>
        <w:spacing w:after="0"/>
        <w:ind w:left="426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Vitória,</w:t>
      </w:r>
      <w:r w:rsidR="00E844F7">
        <w:rPr>
          <w:rFonts w:ascii="Arial" w:eastAsia="Arial" w:hAnsi="Arial" w:cs="Arial"/>
          <w:sz w:val="24"/>
        </w:rPr>
        <w:t xml:space="preserve"> </w:t>
      </w:r>
      <w:r w:rsidR="006D3E14">
        <w:rPr>
          <w:rFonts w:ascii="Arial" w:eastAsia="Arial" w:hAnsi="Arial" w:cs="Arial"/>
          <w:sz w:val="24"/>
        </w:rPr>
        <w:t>20</w:t>
      </w:r>
      <w:r>
        <w:rPr>
          <w:rFonts w:ascii="Arial" w:eastAsia="Arial" w:hAnsi="Arial" w:cs="Arial"/>
          <w:sz w:val="24"/>
        </w:rPr>
        <w:t xml:space="preserve"> de julho de 2020.</w:t>
      </w:r>
    </w:p>
    <w:p w:rsidR="00A549DC" w:rsidRDefault="00A549DC">
      <w:pPr>
        <w:spacing w:after="0"/>
        <w:ind w:left="426"/>
        <w:jc w:val="right"/>
        <w:rPr>
          <w:rFonts w:ascii="Arial" w:eastAsia="Arial" w:hAnsi="Arial" w:cs="Arial"/>
          <w:sz w:val="24"/>
        </w:rPr>
      </w:pPr>
    </w:p>
    <w:p w:rsidR="00A549DC" w:rsidRDefault="00A549DC">
      <w:pPr>
        <w:spacing w:after="0"/>
        <w:ind w:left="426"/>
        <w:jc w:val="right"/>
        <w:rPr>
          <w:rFonts w:ascii="Arial" w:eastAsia="Arial" w:hAnsi="Arial" w:cs="Arial"/>
          <w:sz w:val="24"/>
        </w:rPr>
      </w:pPr>
    </w:p>
    <w:p w:rsidR="00E844F7" w:rsidRDefault="00E844F7">
      <w:pPr>
        <w:spacing w:after="0"/>
        <w:ind w:left="426"/>
        <w:jc w:val="right"/>
        <w:rPr>
          <w:rFonts w:ascii="Arial" w:eastAsia="Arial" w:hAnsi="Arial" w:cs="Arial"/>
          <w:sz w:val="24"/>
        </w:rPr>
      </w:pPr>
    </w:p>
    <w:p w:rsidR="001C2132" w:rsidRDefault="001C2132">
      <w:pPr>
        <w:spacing w:after="0"/>
        <w:ind w:left="426"/>
        <w:jc w:val="right"/>
        <w:rPr>
          <w:rFonts w:ascii="Arial" w:eastAsia="Arial" w:hAnsi="Arial" w:cs="Arial"/>
          <w:sz w:val="24"/>
        </w:rPr>
      </w:pPr>
    </w:p>
    <w:p w:rsidR="00A549DC" w:rsidRDefault="00A549DC">
      <w:pPr>
        <w:spacing w:after="0"/>
        <w:ind w:left="426"/>
        <w:jc w:val="center"/>
        <w:rPr>
          <w:rFonts w:ascii="Arial" w:eastAsia="Arial" w:hAnsi="Arial" w:cs="Arial"/>
          <w:sz w:val="24"/>
        </w:rPr>
      </w:pPr>
    </w:p>
    <w:p w:rsidR="00A549DC" w:rsidRDefault="000D3375">
      <w:pPr>
        <w:spacing w:after="0"/>
        <w:ind w:left="426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Rafael Dias Valencio</w:t>
      </w:r>
    </w:p>
    <w:p w:rsidR="00A549DC" w:rsidRDefault="000D3375">
      <w:pPr>
        <w:spacing w:after="0"/>
        <w:ind w:left="426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Conselheiro Presidente em exercício do CEDH-ES</w:t>
      </w:r>
    </w:p>
    <w:p w:rsidR="001C2132" w:rsidRDefault="001C2132">
      <w:pPr>
        <w:spacing w:after="0"/>
        <w:ind w:left="426"/>
        <w:jc w:val="center"/>
        <w:rPr>
          <w:rFonts w:ascii="Arial" w:eastAsia="Arial" w:hAnsi="Arial" w:cs="Arial"/>
          <w:b/>
          <w:sz w:val="24"/>
        </w:rPr>
      </w:pPr>
    </w:p>
    <w:p w:rsidR="00A549DC" w:rsidRDefault="00A549DC">
      <w:pPr>
        <w:spacing w:after="0"/>
        <w:ind w:left="426"/>
        <w:jc w:val="right"/>
        <w:rPr>
          <w:rFonts w:ascii="Arial" w:eastAsia="Arial" w:hAnsi="Arial" w:cs="Arial"/>
          <w:sz w:val="24"/>
        </w:rPr>
      </w:pPr>
    </w:p>
    <w:p w:rsidR="00A549DC" w:rsidRDefault="00A549DC">
      <w:pPr>
        <w:spacing w:after="0"/>
        <w:ind w:left="426"/>
        <w:jc w:val="right"/>
        <w:rPr>
          <w:rFonts w:ascii="Arial" w:eastAsia="Arial" w:hAnsi="Arial" w:cs="Arial"/>
          <w:sz w:val="24"/>
        </w:rPr>
      </w:pPr>
    </w:p>
    <w:p w:rsidR="00A549DC" w:rsidRDefault="00A549DC">
      <w:pPr>
        <w:spacing w:after="0"/>
        <w:ind w:left="426"/>
        <w:jc w:val="right"/>
        <w:rPr>
          <w:rFonts w:ascii="Arial" w:eastAsia="Arial" w:hAnsi="Arial" w:cs="Arial"/>
          <w:sz w:val="24"/>
        </w:rPr>
      </w:pPr>
    </w:p>
    <w:p w:rsidR="00A549DC" w:rsidRDefault="00A549DC">
      <w:pPr>
        <w:spacing w:after="0"/>
        <w:jc w:val="center"/>
        <w:rPr>
          <w:rFonts w:ascii="Arial" w:eastAsia="Arial" w:hAnsi="Arial" w:cs="Arial"/>
          <w:b/>
          <w:color w:val="000000"/>
          <w:sz w:val="24"/>
        </w:rPr>
      </w:pPr>
    </w:p>
    <w:sectPr w:rsidR="00A549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10DB"/>
    <w:multiLevelType w:val="multilevel"/>
    <w:tmpl w:val="8A5EC66E"/>
    <w:lvl w:ilvl="0">
      <w:start w:val="1"/>
      <w:numFmt w:val="upp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642DBB"/>
    <w:multiLevelType w:val="multilevel"/>
    <w:tmpl w:val="5484C9A6"/>
    <w:lvl w:ilvl="0">
      <w:start w:val="1"/>
      <w:numFmt w:val="upp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9B5D5F"/>
    <w:multiLevelType w:val="multilevel"/>
    <w:tmpl w:val="B1ACA0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5A7063"/>
    <w:multiLevelType w:val="multilevel"/>
    <w:tmpl w:val="91FE2A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76723A"/>
    <w:multiLevelType w:val="multilevel"/>
    <w:tmpl w:val="B45A7A60"/>
    <w:lvl w:ilvl="0">
      <w:start w:val="1"/>
      <w:numFmt w:val="upp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4762C3"/>
    <w:multiLevelType w:val="multilevel"/>
    <w:tmpl w:val="241EF0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5F40FC"/>
    <w:multiLevelType w:val="multilevel"/>
    <w:tmpl w:val="7CC651E4"/>
    <w:lvl w:ilvl="0">
      <w:start w:val="1"/>
      <w:numFmt w:val="upp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DC"/>
    <w:rsid w:val="000D3375"/>
    <w:rsid w:val="001C2132"/>
    <w:rsid w:val="0038188F"/>
    <w:rsid w:val="003F258A"/>
    <w:rsid w:val="00660EC7"/>
    <w:rsid w:val="006D3E14"/>
    <w:rsid w:val="007D500B"/>
    <w:rsid w:val="00937D87"/>
    <w:rsid w:val="0097518E"/>
    <w:rsid w:val="00A4066A"/>
    <w:rsid w:val="00A549DC"/>
    <w:rsid w:val="00A757FF"/>
    <w:rsid w:val="00B1412B"/>
    <w:rsid w:val="00BF3104"/>
    <w:rsid w:val="00E52DE8"/>
    <w:rsid w:val="00E81745"/>
    <w:rsid w:val="00E844F7"/>
    <w:rsid w:val="00F7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4066A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Verdana" w:eastAsia="Times New Roman" w:hAnsi="Verdana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A4066A"/>
    <w:rPr>
      <w:rFonts w:ascii="Verdana" w:eastAsia="Times New Roman" w:hAnsi="Verdana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4066A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Verdana" w:eastAsia="Times New Roman" w:hAnsi="Verdana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A4066A"/>
    <w:rPr>
      <w:rFonts w:ascii="Verdana" w:eastAsia="Times New Roman" w:hAnsi="Verdana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3702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Juliana Borges Paiva</cp:lastModifiedBy>
  <cp:revision>2</cp:revision>
  <dcterms:created xsi:type="dcterms:W3CDTF">2020-09-01T14:43:00Z</dcterms:created>
  <dcterms:modified xsi:type="dcterms:W3CDTF">2020-09-01T14:43:00Z</dcterms:modified>
</cp:coreProperties>
</file>